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8318B" w14:textId="24C89EE3" w:rsidR="00820BC5" w:rsidRDefault="00820BC5" w:rsidP="00820BC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 w:rsidR="006605DF">
        <w:rPr>
          <w:rFonts w:cs="Arial"/>
          <w:b/>
          <w:sz w:val="24"/>
          <w:szCs w:val="24"/>
        </w:rPr>
        <w:t>94</w:t>
      </w:r>
      <w:r>
        <w:rPr>
          <w:rFonts w:cs="Arial"/>
          <w:b/>
          <w:sz w:val="24"/>
          <w:szCs w:val="24"/>
        </w:rPr>
        <w:tab/>
      </w:r>
      <w:r w:rsidR="00D07AD5" w:rsidRPr="00D07AD5">
        <w:rPr>
          <w:rFonts w:cs="Arial"/>
          <w:b/>
          <w:sz w:val="24"/>
          <w:szCs w:val="24"/>
        </w:rPr>
        <w:t>R4-</w:t>
      </w:r>
      <w:r w:rsidR="006F1AE1">
        <w:rPr>
          <w:rFonts w:cs="Arial"/>
          <w:b/>
          <w:sz w:val="24"/>
          <w:szCs w:val="24"/>
        </w:rPr>
        <w:t>2001385</w:t>
      </w:r>
    </w:p>
    <w:p w14:paraId="4E217A6F" w14:textId="79E28DA9" w:rsidR="00820BC5" w:rsidRPr="0087636F" w:rsidRDefault="006F1AE1" w:rsidP="00820BC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online,</w:t>
      </w:r>
      <w:r w:rsidR="00F1354A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24</w:t>
      </w:r>
      <w:r w:rsidR="00820BC5" w:rsidRPr="006D0B81">
        <w:rPr>
          <w:rFonts w:cs="Arial"/>
          <w:b/>
          <w:sz w:val="24"/>
          <w:szCs w:val="24"/>
          <w:vertAlign w:val="superscript"/>
        </w:rPr>
        <w:t>th</w:t>
      </w:r>
      <w:r w:rsidR="00820BC5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Feb</w:t>
      </w:r>
      <w:r w:rsidRPr="00690ADD">
        <w:rPr>
          <w:rFonts w:cs="Arial"/>
          <w:b/>
          <w:sz w:val="24"/>
          <w:szCs w:val="24"/>
        </w:rPr>
        <w:t xml:space="preserve"> </w:t>
      </w:r>
      <w:r w:rsidR="00820BC5"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6</w:t>
      </w:r>
      <w:r w:rsidR="00F1354A">
        <w:rPr>
          <w:rFonts w:cs="Arial"/>
          <w:b/>
          <w:sz w:val="24"/>
          <w:szCs w:val="24"/>
          <w:vertAlign w:val="superscript"/>
        </w:rPr>
        <w:t>th</w:t>
      </w:r>
      <w:r w:rsidR="00820BC5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 xml:space="preserve">Mar </w:t>
      </w:r>
      <w:r w:rsidR="00820BC5" w:rsidRPr="00690ADD">
        <w:rPr>
          <w:rFonts w:cs="Arial"/>
          <w:b/>
          <w:sz w:val="24"/>
          <w:szCs w:val="24"/>
        </w:rPr>
        <w:t>20</w:t>
      </w:r>
      <w:bookmarkEnd w:id="0"/>
      <w:r w:rsidR="006605DF">
        <w:rPr>
          <w:rFonts w:cs="Arial"/>
          <w:b/>
          <w:sz w:val="24"/>
          <w:szCs w:val="24"/>
        </w:rPr>
        <w:t>20</w:t>
      </w:r>
    </w:p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18C630DB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5B6A96A7" w14:textId="56843AB0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bookmarkStart w:id="1" w:name="_Hlk24032798"/>
      <w:r w:rsidR="006F1AE1">
        <w:t>Problems with CA channel arrangement</w:t>
      </w:r>
    </w:p>
    <w:bookmarkEnd w:id="1"/>
    <w:p w14:paraId="23226DA5" w14:textId="4ED4C8B6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5C2450">
        <w:rPr>
          <w:color w:val="0000FF"/>
          <w:u w:val="single"/>
        </w:rPr>
        <w:t>8.13.1.2</w:t>
      </w:r>
      <w:r w:rsidR="005C2450">
        <w:t xml:space="preserve"> Intra-band contiguous DL CA for FR1</w:t>
      </w:r>
    </w:p>
    <w:p w14:paraId="7AD518C5" w14:textId="1B442E22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B43457">
        <w:rPr>
          <w:sz w:val="22"/>
        </w:rPr>
        <w:t>Discussion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2286D971" w14:textId="1DF8BDE3" w:rsidR="00DF2E6B" w:rsidRDefault="008719B7" w:rsidP="000B5E8E">
      <w:r>
        <w:t xml:space="preserve">In the </w:t>
      </w:r>
      <w:r w:rsidR="008F4671">
        <w:t xml:space="preserve">channel arrangement </w:t>
      </w:r>
      <w:r>
        <w:t xml:space="preserve">formulas for </w:t>
      </w:r>
      <w:r w:rsidR="001A4C7E">
        <w:t xml:space="preserve">NR </w:t>
      </w:r>
      <w:r>
        <w:t>contiguous carrier aggregat</w:t>
      </w:r>
      <w:r w:rsidR="00E1032C">
        <w:t>ion</w:t>
      </w:r>
      <w:r>
        <w:t>, there are ambiguities and errors that should be corrected. According to the formulas currently found in TS 38.101-1</w:t>
      </w:r>
      <w:r w:rsidR="000A0E7F">
        <w:t xml:space="preserve">, </w:t>
      </w:r>
      <w:r>
        <w:t>TS 38.101-2</w:t>
      </w:r>
      <w:r w:rsidR="000A0E7F">
        <w:t>, and TS 38.104,</w:t>
      </w:r>
    </w:p>
    <w:p w14:paraId="3F76102B" w14:textId="2D908956" w:rsidR="00D1757E" w:rsidRDefault="00D1757E" w:rsidP="008719B7">
      <w:pPr>
        <w:pStyle w:val="ListParagraph"/>
        <w:numPr>
          <w:ilvl w:val="0"/>
          <w:numId w:val="8"/>
        </w:numPr>
      </w:pPr>
      <w:r>
        <w:t xml:space="preserve">There are ambiguities </w:t>
      </w:r>
      <w:r w:rsidR="00333412">
        <w:t xml:space="preserve">and errors </w:t>
      </w:r>
      <w:r>
        <w:t>in formulas related to CA channel arrangement, resulting in risk of misinterpretation.</w:t>
      </w:r>
    </w:p>
    <w:p w14:paraId="60EAC9FE" w14:textId="656DBE36" w:rsidR="008719B7" w:rsidRDefault="00106805" w:rsidP="008719B7">
      <w:pPr>
        <w:pStyle w:val="ListParagraph"/>
        <w:numPr>
          <w:ilvl w:val="0"/>
          <w:numId w:val="8"/>
        </w:numPr>
      </w:pPr>
      <w:r>
        <w:t xml:space="preserve">According to </w:t>
      </w:r>
      <w:r w:rsidR="005C6167">
        <w:t xml:space="preserve">TS </w:t>
      </w:r>
      <w:r>
        <w:t xml:space="preserve">38.101-1 and </w:t>
      </w:r>
      <w:r w:rsidR="005C6167">
        <w:t xml:space="preserve">TS </w:t>
      </w:r>
      <w:r>
        <w:t>38.101-</w:t>
      </w:r>
      <w:r w:rsidR="005C6167">
        <w:t>2</w:t>
      </w:r>
      <w:r>
        <w:t xml:space="preserve">, the </w:t>
      </w:r>
      <w:r w:rsidR="007A4356">
        <w:t xml:space="preserve">UL </w:t>
      </w:r>
      <w:r w:rsidR="008719B7">
        <w:t>aggregated channel bandwidth exceeds the sum of CC bandwidths with several combinations of CC bandwidths and SCSs. This should not be allowed.</w:t>
      </w:r>
    </w:p>
    <w:p w14:paraId="5F281BD7" w14:textId="3E7E7148" w:rsidR="002B0ACB" w:rsidRDefault="0076454F" w:rsidP="002B0ACB">
      <w:pPr>
        <w:pStyle w:val="ListParagraph"/>
        <w:numPr>
          <w:ilvl w:val="0"/>
          <w:numId w:val="8"/>
        </w:numPr>
      </w:pPr>
      <w:r>
        <w:t xml:space="preserve">The aggregated channel bandwidth depends on the SCSs used in the CCs, which </w:t>
      </w:r>
      <w:r w:rsidR="00444A8E">
        <w:t>is undesirable.</w:t>
      </w:r>
    </w:p>
    <w:p w14:paraId="4C27C296" w14:textId="191DDD8F" w:rsidR="002B0ACB" w:rsidRDefault="002B0ACB" w:rsidP="002B0ACB">
      <w:r>
        <w:t xml:space="preserve">Note: What is said in this contribution about parameters </w:t>
      </w:r>
      <w:r w:rsidRPr="001C0CC4">
        <w:t>F</w:t>
      </w:r>
      <w:r w:rsidRPr="001C0CC4">
        <w:rPr>
          <w:vertAlign w:val="subscript"/>
        </w:rPr>
        <w:t>offset,</w:t>
      </w:r>
      <w:r>
        <w:rPr>
          <w:vertAlign w:val="subscript"/>
        </w:rPr>
        <w:t>low</w:t>
      </w:r>
      <w:r>
        <w:t xml:space="preserve"> and </w:t>
      </w:r>
      <w:r w:rsidRPr="001C0CC4">
        <w:t>F</w:t>
      </w:r>
      <w:r w:rsidRPr="001C0CC4">
        <w:rPr>
          <w:vertAlign w:val="subscript"/>
        </w:rPr>
        <w:t>offset,high</w:t>
      </w:r>
      <w:r w:rsidR="00B048CF">
        <w:t xml:space="preserve"> (in formulas for single subblock)</w:t>
      </w:r>
      <w:r w:rsidR="00D459B8">
        <w:t xml:space="preserve"> </w:t>
      </w:r>
      <w:r>
        <w:t xml:space="preserve">applies also to </w:t>
      </w:r>
      <w:r w:rsidRPr="001C0CC4">
        <w:rPr>
          <w:lang w:val="en-US"/>
        </w:rPr>
        <w:t>F</w:t>
      </w:r>
      <w:r w:rsidRPr="001C0CC4">
        <w:rPr>
          <w:vertAlign w:val="subscript"/>
          <w:lang w:val="en-US"/>
        </w:rPr>
        <w:t>offset,block,low</w:t>
      </w:r>
      <w:r>
        <w:t xml:space="preserve"> and </w:t>
      </w:r>
      <w:r w:rsidRPr="001C0CC4">
        <w:rPr>
          <w:lang w:val="en-US"/>
        </w:rPr>
        <w:t>F</w:t>
      </w:r>
      <w:r w:rsidRPr="001C0CC4">
        <w:rPr>
          <w:vertAlign w:val="subscript"/>
          <w:lang w:val="en-US"/>
        </w:rPr>
        <w:t>offset,block,</w:t>
      </w:r>
      <w:r>
        <w:rPr>
          <w:vertAlign w:val="subscript"/>
          <w:lang w:val="en-US"/>
        </w:rPr>
        <w:t>high</w:t>
      </w:r>
      <w:r w:rsidR="00B048CF">
        <w:t xml:space="preserve"> (in formulas for multiple subblocks).</w:t>
      </w:r>
    </w:p>
    <w:p w14:paraId="0D44C1E5" w14:textId="4CC1F269" w:rsidR="000A6A9A" w:rsidRDefault="000A6A9A" w:rsidP="000A6A9A">
      <w:pPr>
        <w:pStyle w:val="Heading1"/>
      </w:pPr>
      <w:r>
        <w:t>2</w:t>
      </w:r>
      <w:r>
        <w:tab/>
        <w:t>Discussion</w:t>
      </w:r>
    </w:p>
    <w:p w14:paraId="16DEAC70" w14:textId="01913260" w:rsidR="00063A37" w:rsidRPr="00995054" w:rsidRDefault="009B2183" w:rsidP="009A6AC3">
      <w:r w:rsidRPr="009B2183">
        <w:rPr>
          <w:b/>
          <w:bCs/>
        </w:rPr>
        <w:t xml:space="preserve">Problem </w:t>
      </w:r>
      <w:r w:rsidR="00F64F67">
        <w:rPr>
          <w:b/>
          <w:bCs/>
        </w:rPr>
        <w:t>1</w:t>
      </w:r>
      <w:r w:rsidRPr="009B2183">
        <w:rPr>
          <w:b/>
          <w:bCs/>
        </w:rPr>
        <w:t xml:space="preserve">: </w:t>
      </w:r>
      <w:r w:rsidRPr="00995054">
        <w:t xml:space="preserve">In TS 38.101-1 clause 5.4A.1, TS 38.101-2 clause 5.4A.1, and TS 38.104 clause 5.4.1.2, the wording “for the said </w:t>
      </w:r>
      <w:r w:rsidRPr="00995054">
        <w:rPr>
          <w:rFonts w:ascii="Cambria Math" w:hAnsi="Cambria Math" w:cs="Cambria Math"/>
        </w:rPr>
        <w:t xml:space="preserve">𝜇 </w:t>
      </w:r>
      <w:r w:rsidRPr="00995054">
        <w:t xml:space="preserve">value” </w:t>
      </w:r>
      <w:r w:rsidR="00063A37" w:rsidRPr="00995054">
        <w:t>has caused confusion.</w:t>
      </w:r>
    </w:p>
    <w:p w14:paraId="23C48EDB" w14:textId="353C2191" w:rsidR="009A6AC3" w:rsidRPr="00995054" w:rsidRDefault="00063A37" w:rsidP="009A6AC3">
      <w:r w:rsidRPr="00063A37">
        <w:rPr>
          <w:b/>
          <w:bCs/>
        </w:rPr>
        <w:t>Proposed solution</w:t>
      </w:r>
      <w:r>
        <w:rPr>
          <w:b/>
          <w:bCs/>
        </w:rPr>
        <w:t xml:space="preserve"> </w:t>
      </w:r>
      <w:r w:rsidR="00F64F67">
        <w:rPr>
          <w:b/>
          <w:bCs/>
        </w:rPr>
        <w:t>1</w:t>
      </w:r>
      <w:r w:rsidRPr="00063A37">
        <w:rPr>
          <w:b/>
          <w:bCs/>
        </w:rPr>
        <w:t xml:space="preserve">: </w:t>
      </w:r>
      <w:r w:rsidRPr="00995054">
        <w:t xml:space="preserve">Replace “for the said </w:t>
      </w:r>
      <w:r w:rsidRPr="00995054">
        <w:rPr>
          <w:rFonts w:ascii="Cambria Math" w:hAnsi="Cambria Math" w:cs="Cambria Math"/>
        </w:rPr>
        <w:t>𝜇</w:t>
      </w:r>
      <w:r w:rsidRPr="00995054">
        <w:t xml:space="preserve"> value” with “for </w:t>
      </w:r>
      <w:r w:rsidR="001C4152" w:rsidRPr="00995054">
        <w:rPr>
          <w:rFonts w:ascii="Cambria Math" w:hAnsi="Cambria Math" w:cs="Cambria Math"/>
        </w:rPr>
        <w:t>𝜇=</w:t>
      </w:r>
      <w:r w:rsidRPr="00995054">
        <w:rPr>
          <w:rFonts w:ascii="Cambria Math" w:hAnsi="Cambria Math" w:cs="Cambria Math"/>
        </w:rPr>
        <w:t>𝜇</w:t>
      </w:r>
      <w:r w:rsidRPr="00995054">
        <w:rPr>
          <w:vertAlign w:val="subscript"/>
        </w:rPr>
        <w:t>0</w:t>
      </w:r>
      <w:r w:rsidRPr="00995054">
        <w:t>”.</w:t>
      </w:r>
    </w:p>
    <w:p w14:paraId="0800BA75" w14:textId="18BCD768" w:rsidR="00063A37" w:rsidRDefault="00063A37" w:rsidP="009A6AC3"/>
    <w:p w14:paraId="1FA07C03" w14:textId="69268DFE" w:rsidR="001A0D3F" w:rsidRPr="00CF3651" w:rsidRDefault="001A0D3F" w:rsidP="009A6AC3">
      <w:r w:rsidRPr="001A0D3F">
        <w:rPr>
          <w:b/>
          <w:bCs/>
        </w:rPr>
        <w:t xml:space="preserve">Problem </w:t>
      </w:r>
      <w:r w:rsidR="00325554">
        <w:rPr>
          <w:b/>
          <w:bCs/>
        </w:rPr>
        <w:t>2</w:t>
      </w:r>
      <w:r w:rsidRPr="001A0D3F">
        <w:rPr>
          <w:b/>
          <w:bCs/>
        </w:rPr>
        <w:t xml:space="preserve">: </w:t>
      </w:r>
      <w:r w:rsidR="00CC6C9A" w:rsidRPr="00CF3651">
        <w:t>In 38.101-1</w:t>
      </w:r>
      <w:r w:rsidR="005B53FE" w:rsidRPr="00CF3651">
        <w:t xml:space="preserve"> and 38.101-2</w:t>
      </w:r>
      <w:r w:rsidR="00341B97" w:rsidRPr="00CF3651">
        <w:t>,</w:t>
      </w:r>
      <w:r w:rsidR="00CC6C9A" w:rsidRPr="00CF3651">
        <w:t xml:space="preserve"> </w:t>
      </w:r>
      <w:r w:rsidR="00341B97" w:rsidRPr="00CF3651">
        <w:t>s</w:t>
      </w:r>
      <w:r w:rsidR="0089268B" w:rsidRPr="00CF3651">
        <w:t>tatement</w:t>
      </w:r>
      <w:r w:rsidRPr="00CF3651">
        <w:t xml:space="preserve"> </w:t>
      </w:r>
      <w:r w:rsidR="0089268B" w:rsidRPr="00CF3651">
        <w:t>BW</w:t>
      </w:r>
      <w:r w:rsidR="0089268B" w:rsidRPr="00CF3651">
        <w:rPr>
          <w:vertAlign w:val="subscript"/>
          <w:lang w:val="en-US"/>
        </w:rPr>
        <w:t>GB</w:t>
      </w:r>
      <w:r w:rsidR="0089268B" w:rsidRPr="00CF3651">
        <w:t xml:space="preserve"> = </w:t>
      </w:r>
      <w:r w:rsidRPr="00CF3651">
        <w:t>max(</w:t>
      </w:r>
      <w:r w:rsidRPr="00CF3651">
        <w:rPr>
          <w:lang w:val="en-US"/>
        </w:rPr>
        <w:t>BW</w:t>
      </w:r>
      <w:r w:rsidRPr="00CF3651">
        <w:rPr>
          <w:vertAlign w:val="subscript"/>
          <w:lang w:val="en-US"/>
        </w:rPr>
        <w:t>GB,Channel(k)</w:t>
      </w:r>
      <w:r w:rsidRPr="00CF3651">
        <w:t xml:space="preserve">) does not specify whether the maximum should be taken across all values of SCS or across all values of </w:t>
      </w:r>
      <w:r w:rsidRPr="00CF3651">
        <w:rPr>
          <w:i/>
          <w:iCs/>
        </w:rPr>
        <w:t>k</w:t>
      </w:r>
      <w:r w:rsidRPr="00CF3651">
        <w:t xml:space="preserve"> or across all values of both SCS and </w:t>
      </w:r>
      <w:r w:rsidRPr="00CF3651">
        <w:rPr>
          <w:i/>
          <w:iCs/>
        </w:rPr>
        <w:t>k</w:t>
      </w:r>
      <w:r w:rsidRPr="00CF3651">
        <w:t>.</w:t>
      </w:r>
    </w:p>
    <w:p w14:paraId="72D8A681" w14:textId="048282F8" w:rsidR="001A0D3F" w:rsidRDefault="001A0D3F" w:rsidP="009A6AC3">
      <w:r w:rsidRPr="0085453A">
        <w:rPr>
          <w:b/>
          <w:bCs/>
        </w:rPr>
        <w:t xml:space="preserve">Proposed solution </w:t>
      </w:r>
      <w:r w:rsidR="00B27F32">
        <w:rPr>
          <w:b/>
          <w:bCs/>
        </w:rPr>
        <w:t>2</w:t>
      </w:r>
      <w:r w:rsidRPr="0085453A">
        <w:rPr>
          <w:b/>
          <w:bCs/>
        </w:rPr>
        <w:t xml:space="preserve">: </w:t>
      </w:r>
      <w:r w:rsidR="00D84BCA" w:rsidRPr="00D84BCA">
        <w:t>For the UE</w:t>
      </w:r>
      <w:r w:rsidR="00D84BCA">
        <w:rPr>
          <w:b/>
          <w:bCs/>
        </w:rPr>
        <w:t xml:space="preserve"> </w:t>
      </w:r>
      <w:r w:rsidR="00BE38D0" w:rsidRPr="00CF3651">
        <w:t xml:space="preserve">Define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BW</m:t>
            </m:r>
          </m:e>
          <m:sub>
            <m:r>
              <w:rPr>
                <w:rFonts w:ascii="Cambria Math" w:hAnsi="Cambria Math"/>
              </w:rPr>
              <m:t>GB</m:t>
            </m:r>
          </m:sub>
        </m:sSub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max</m:t>
                </m:r>
              </m:e>
              <m:lim>
                <m:r>
                  <w:rPr>
                    <w:rFonts w:ascii="Cambria Math" w:hAnsi="Cambria Math"/>
                  </w:rPr>
                  <m:t>k</m:t>
                </m:r>
              </m:lim>
            </m:limLow>
          </m:fName>
          <m:e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BW</m:t>
                </m:r>
              </m:e>
              <m:sub>
                <m:r>
                  <w:rPr>
                    <w:rFonts w:ascii="Cambria Math" w:hAnsi="Cambria Math"/>
                  </w:rPr>
                  <m:t>GB,Channel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</m:d>
              </m:sub>
            </m:sSub>
          </m:e>
        </m:func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i/>
              </w:rPr>
              <w:sym w:font="Symbol" w:char="F06D"/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)</m:t>
        </m:r>
      </m:oMath>
      <w:r w:rsidR="00B40E50">
        <w:t>)</w:t>
      </w:r>
      <w:r w:rsidR="00BE38D0" w:rsidRPr="00CF3651">
        <w:t xml:space="preserve">, indicating that the maximum is taken across the CCs, </w:t>
      </w:r>
      <w:r w:rsidR="00EE685D" w:rsidRPr="00CF3651">
        <w:t xml:space="preserve">and the </w:t>
      </w:r>
      <w:r w:rsidR="000029DD" w:rsidRPr="00CF3651">
        <w:t>included minimum guard band widths correspond to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i/>
              </w:rPr>
              <w:sym w:font="Symbol" w:char="F06D"/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0029DD" w:rsidRPr="00CF3651">
        <w:t xml:space="preserve">, </w:t>
      </w:r>
      <w:r w:rsidR="00474458">
        <w:t xml:space="preserve">the </w:t>
      </w:r>
      <w:r w:rsidR="00474458">
        <w:t xml:space="preserve">largest </w:t>
      </w:r>
      <w:r w:rsidR="00474458">
        <w:rPr>
          <w:i/>
          <w:iCs/>
        </w:rPr>
        <w:t xml:space="preserve">μ </w:t>
      </w:r>
      <w:r w:rsidR="00474458">
        <w:t>value among the subcarrier spacing configurations supported in the operating band for both of the channel bandwidths</w:t>
      </w:r>
      <w:r w:rsidR="00DB15F8">
        <w:t xml:space="preserve"> </w:t>
      </w:r>
      <w:r w:rsidR="00DB15F8">
        <w:t xml:space="preserve">(see </w:t>
      </w:r>
      <w:r w:rsidR="00DB15F8">
        <w:t xml:space="preserve">the </w:t>
      </w:r>
      <w:bookmarkStart w:id="2" w:name="_GoBack"/>
      <w:bookmarkEnd w:id="2"/>
      <w:r w:rsidR="00DB15F8">
        <w:t>definition of CA channel spacing)</w:t>
      </w:r>
      <w:r w:rsidR="00474458">
        <w:t>.</w:t>
      </w:r>
    </w:p>
    <w:p w14:paraId="4DDAC731" w14:textId="6FC230E3" w:rsidR="00C93DE8" w:rsidRDefault="00C47A9C" w:rsidP="00C93DE8">
      <w:pPr>
        <w:rPr>
          <w:b/>
          <w:bCs/>
        </w:rPr>
      </w:pPr>
      <w:r w:rsidRPr="00C93DE8">
        <w:rPr>
          <w:b/>
          <w:bCs/>
        </w:rPr>
        <w:t xml:space="preserve">Problem </w:t>
      </w:r>
      <w:r w:rsidR="00EE5334">
        <w:rPr>
          <w:b/>
          <w:bCs/>
        </w:rPr>
        <w:t>3</w:t>
      </w:r>
      <w:r w:rsidRPr="00C93DE8">
        <w:rPr>
          <w:b/>
          <w:bCs/>
        </w:rPr>
        <w:t xml:space="preserve">: </w:t>
      </w:r>
      <w:r w:rsidRPr="00913487">
        <w:t>The definitions of channel spacing, F</w:t>
      </w:r>
      <w:r w:rsidRPr="00913487">
        <w:rPr>
          <w:vertAlign w:val="subscript"/>
        </w:rPr>
        <w:t>offset,low</w:t>
      </w:r>
      <w:r w:rsidRPr="00913487">
        <w:t>, and F</w:t>
      </w:r>
      <w:r w:rsidRPr="00913487">
        <w:rPr>
          <w:vertAlign w:val="subscript"/>
        </w:rPr>
        <w:t>offset,high</w:t>
      </w:r>
      <w:r w:rsidRPr="00913487">
        <w:t xml:space="preserve"> result in </w:t>
      </w:r>
      <w:r w:rsidR="00B35692" w:rsidRPr="00913487">
        <w:t xml:space="preserve">subblock </w:t>
      </w:r>
      <w:r w:rsidR="00C93DE8" w:rsidRPr="00913487">
        <w:t xml:space="preserve">bandwidth </w:t>
      </w:r>
      <w:r w:rsidR="00B35692" w:rsidRPr="00913487">
        <w:t xml:space="preserve">that </w:t>
      </w:r>
      <w:r w:rsidR="00C93DE8" w:rsidRPr="00913487">
        <w:t>exceed</w:t>
      </w:r>
      <w:r w:rsidR="00B35692" w:rsidRPr="00913487">
        <w:t>s</w:t>
      </w:r>
      <w:r w:rsidR="00C93DE8" w:rsidRPr="00913487">
        <w:t xml:space="preserve"> the sum of CC bandwidth</w:t>
      </w:r>
      <w:r w:rsidR="00747AC8" w:rsidRPr="00913487">
        <w:t xml:space="preserve"> in the UL</w:t>
      </w:r>
      <w:r w:rsidR="00C93DE8" w:rsidRPr="00913487">
        <w:t xml:space="preserve">. This occurs with </w:t>
      </w:r>
      <w:r w:rsidR="00D75B4F" w:rsidRPr="00913487">
        <w:t xml:space="preserve">numerous </w:t>
      </w:r>
      <w:r w:rsidR="00C93DE8" w:rsidRPr="00913487">
        <w:t>combinations of channel bandwidths and SCSs</w:t>
      </w:r>
      <w:r w:rsidR="00913487" w:rsidRPr="00913487">
        <w:t xml:space="preserve"> in both FR1 and FR2</w:t>
      </w:r>
      <w:r w:rsidR="00C93DE8" w:rsidRPr="00913487">
        <w:t>.</w:t>
      </w:r>
      <w:r w:rsidR="00B35692" w:rsidRPr="00913487">
        <w:t xml:space="preserve"> This should not be allowed.</w:t>
      </w:r>
    </w:p>
    <w:p w14:paraId="59B8AED7" w14:textId="01716CA3" w:rsidR="00331146" w:rsidRDefault="00331146" w:rsidP="00C93DE8">
      <w:r>
        <w:t>See the table provided in Appendix for the problematic aggregated channel bandwidths.</w:t>
      </w:r>
    </w:p>
    <w:p w14:paraId="73291CBA" w14:textId="62CC7BDD" w:rsidR="00B14494" w:rsidRDefault="002B0ACB" w:rsidP="005E2160">
      <w:pPr>
        <w:keepNext/>
      </w:pPr>
      <w:r w:rsidRPr="002B0ACB">
        <w:t>T</w:t>
      </w:r>
      <w:r>
        <w:t xml:space="preserve">he excessive </w:t>
      </w:r>
      <w:r w:rsidR="007034DD">
        <w:t>subblock</w:t>
      </w:r>
      <w:r>
        <w:t xml:space="preserve"> bandwidth results from</w:t>
      </w:r>
    </w:p>
    <w:p w14:paraId="25C606BC" w14:textId="6B2EE38B" w:rsidR="002B0ACB" w:rsidRDefault="002B0ACB" w:rsidP="002B0ACB">
      <w:pPr>
        <w:pStyle w:val="ListParagraph"/>
        <w:numPr>
          <w:ilvl w:val="0"/>
          <w:numId w:val="9"/>
        </w:numPr>
      </w:pPr>
      <w:r>
        <w:t xml:space="preserve">using </w:t>
      </w:r>
      <w:r w:rsidRPr="001C0CC4">
        <w:t>N</w:t>
      </w:r>
      <w:r w:rsidRPr="001C0CC4">
        <w:rPr>
          <w:vertAlign w:val="subscript"/>
        </w:rPr>
        <w:t>RB</w:t>
      </w:r>
      <w:r>
        <w:t xml:space="preserve"> and minimum guard band widths based on different SCS values in the formulas of </w:t>
      </w:r>
      <w:r w:rsidRPr="001C0CC4">
        <w:t>F</w:t>
      </w:r>
      <w:r w:rsidRPr="001C0CC4">
        <w:rPr>
          <w:vertAlign w:val="subscript"/>
        </w:rPr>
        <w:t>offset,low</w:t>
      </w:r>
      <w:r>
        <w:t xml:space="preserve"> and </w:t>
      </w:r>
      <w:r w:rsidRPr="001C0CC4">
        <w:t>F</w:t>
      </w:r>
      <w:r w:rsidRPr="001C0CC4">
        <w:rPr>
          <w:vertAlign w:val="subscript"/>
        </w:rPr>
        <w:t>offset,high</w:t>
      </w:r>
      <w:r>
        <w:t>.</w:t>
      </w:r>
    </w:p>
    <w:p w14:paraId="2A5B7025" w14:textId="282AC71F" w:rsidR="002B0ACB" w:rsidRPr="002B0ACB" w:rsidRDefault="00C64A8A" w:rsidP="002B0ACB">
      <w:pPr>
        <w:pStyle w:val="ListParagraph"/>
        <w:numPr>
          <w:ilvl w:val="0"/>
          <w:numId w:val="9"/>
        </w:numPr>
      </w:pPr>
      <w:r>
        <w:t xml:space="preserve">using minimum guard band widths based on different SCSs in the channel spacing formula and the </w:t>
      </w:r>
      <w:r w:rsidRPr="001C0CC4">
        <w:t>F</w:t>
      </w:r>
      <w:r w:rsidRPr="001C0CC4">
        <w:rPr>
          <w:vertAlign w:val="subscript"/>
        </w:rPr>
        <w:t>offset,low</w:t>
      </w:r>
      <w:r>
        <w:t xml:space="preserve"> and </w:t>
      </w:r>
      <w:r w:rsidRPr="001C0CC4">
        <w:t>F</w:t>
      </w:r>
      <w:r w:rsidRPr="001C0CC4">
        <w:rPr>
          <w:vertAlign w:val="subscript"/>
        </w:rPr>
        <w:t>offset,high</w:t>
      </w:r>
      <w:r>
        <w:t xml:space="preserve"> formulas.</w:t>
      </w:r>
    </w:p>
    <w:p w14:paraId="1930D559" w14:textId="77CE9595" w:rsidR="00577AE5" w:rsidRDefault="00577AE5" w:rsidP="00C02019">
      <w:r>
        <w:t xml:space="preserve">Fig. </w:t>
      </w:r>
      <w:r w:rsidR="00662669">
        <w:t>1</w:t>
      </w:r>
      <w:r>
        <w:t xml:space="preserve"> </w:t>
      </w:r>
      <w:r w:rsidR="00D91158">
        <w:t>illustrates the guard exchange mechanism</w:t>
      </w:r>
      <w:r w:rsidR="005D5EBB">
        <w:t xml:space="preserve"> </w:t>
      </w:r>
      <w:r w:rsidR="00323B3E">
        <w:t xml:space="preserve">used in </w:t>
      </w:r>
      <w:r w:rsidR="00470A9F">
        <w:t>38.101-1</w:t>
      </w:r>
      <w:r w:rsidR="00093DB7">
        <w:t xml:space="preserve"> and 38.101-2 </w:t>
      </w:r>
      <w:r w:rsidR="005D5EBB">
        <w:t>(implemented jointly by the formulas of channel spacing and F</w:t>
      </w:r>
      <w:r w:rsidR="005D5EBB" w:rsidRPr="005D5EBB">
        <w:rPr>
          <w:vertAlign w:val="subscript"/>
        </w:rPr>
        <w:t>offset</w:t>
      </w:r>
      <w:r w:rsidR="004358D7">
        <w:rPr>
          <w:vertAlign w:val="subscript"/>
        </w:rPr>
        <w:t>,low/high</w:t>
      </w:r>
      <w:r w:rsidR="005D5EBB">
        <w:t>)</w:t>
      </w:r>
      <w:r w:rsidR="000D63B1">
        <w:t xml:space="preserve"> and</w:t>
      </w:r>
      <w:r w:rsidR="00D91158">
        <w:t xml:space="preserve"> rounding of the channel spacing.</w:t>
      </w:r>
    </w:p>
    <w:p w14:paraId="6B8EC392" w14:textId="687B756A" w:rsidR="00C02019" w:rsidRDefault="0032156F" w:rsidP="0032156F">
      <w:r w:rsidRPr="0085453A">
        <w:rPr>
          <w:b/>
          <w:bCs/>
        </w:rPr>
        <w:t>Proposed solution</w:t>
      </w:r>
      <w:r>
        <w:rPr>
          <w:b/>
          <w:bCs/>
        </w:rPr>
        <w:t xml:space="preserve"> 3: </w:t>
      </w:r>
      <w:r w:rsidR="00467F64" w:rsidRPr="00467F64">
        <w:t>To be solved.</w:t>
      </w:r>
    </w:p>
    <w:p w14:paraId="6354644F" w14:textId="2B992B0B" w:rsidR="00C46268" w:rsidRDefault="00C46268" w:rsidP="0032156F">
      <w:r>
        <w:t>This problem does not exist in the base station because 38.104 has a different definition of F</w:t>
      </w:r>
      <w:r w:rsidRPr="005D5EBB">
        <w:rPr>
          <w:vertAlign w:val="subscript"/>
        </w:rPr>
        <w:t>offset</w:t>
      </w:r>
      <w:r>
        <w:rPr>
          <w:vertAlign w:val="subscript"/>
        </w:rPr>
        <w:t>,low</w:t>
      </w:r>
      <w:r w:rsidR="00EA313A">
        <w:t xml:space="preserve"> and F</w:t>
      </w:r>
      <w:r w:rsidR="00EA313A" w:rsidRPr="005D5EBB">
        <w:rPr>
          <w:vertAlign w:val="subscript"/>
        </w:rPr>
        <w:t>offset</w:t>
      </w:r>
      <w:r w:rsidR="00EA313A">
        <w:rPr>
          <w:vertAlign w:val="subscript"/>
        </w:rPr>
        <w:t>,</w:t>
      </w:r>
      <w:r w:rsidR="001671CF">
        <w:rPr>
          <w:vertAlign w:val="subscript"/>
        </w:rPr>
        <w:t>high</w:t>
      </w:r>
      <w:r w:rsidR="00EA313A">
        <w:t>.</w:t>
      </w:r>
      <w:r w:rsidR="000357D5">
        <w:t xml:space="preserve"> [1][2]</w:t>
      </w:r>
    </w:p>
    <w:p w14:paraId="6D8727C7" w14:textId="20B69923" w:rsidR="00F046F4" w:rsidRDefault="00F046F4" w:rsidP="00577AE5">
      <w:pPr>
        <w:jc w:val="center"/>
      </w:pPr>
      <w:r>
        <w:rPr>
          <w:noProof/>
        </w:rPr>
        <w:lastRenderedPageBreak/>
        <w:drawing>
          <wp:inline distT="0" distB="0" distL="0" distR="0" wp14:anchorId="0084D2BE" wp14:editId="448F7E28">
            <wp:extent cx="5266800" cy="1702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6800" cy="1702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A469CB" w14:textId="4FE7996D" w:rsidR="00577AE5" w:rsidRPr="009A6AC3" w:rsidRDefault="00577AE5" w:rsidP="00577AE5">
      <w:pPr>
        <w:jc w:val="center"/>
      </w:pPr>
      <w:r>
        <w:t xml:space="preserve">Fig. </w:t>
      </w:r>
      <w:r w:rsidR="00341B2E">
        <w:t>1</w:t>
      </w:r>
      <w:r>
        <w:t>: Guard exchange and rounding of channel spacing</w:t>
      </w:r>
    </w:p>
    <w:p w14:paraId="1C65BF0C" w14:textId="1D6C391A" w:rsidR="0073496C" w:rsidRDefault="00A46001" w:rsidP="0073496C">
      <w:pPr>
        <w:pStyle w:val="Heading1"/>
      </w:pPr>
      <w:r>
        <w:t>4</w:t>
      </w:r>
      <w:r w:rsidR="0073496C">
        <w:tab/>
        <w:t>Conclusion</w:t>
      </w:r>
      <w:r w:rsidR="00F1354A">
        <w:t>s</w:t>
      </w:r>
    </w:p>
    <w:p w14:paraId="7E06B1D6" w14:textId="175B75BC" w:rsidR="00C8539D" w:rsidRDefault="003F2D72" w:rsidP="00C8539D">
      <w:r>
        <w:t>The CA channel arrangement formulas contain</w:t>
      </w:r>
      <w:r w:rsidR="00BD0F3F">
        <w:t xml:space="preserve"> typos,</w:t>
      </w:r>
      <w:r>
        <w:t xml:space="preserve"> ambiguities</w:t>
      </w:r>
      <w:r w:rsidR="00BD0F3F">
        <w:t>,</w:t>
      </w:r>
      <w:r>
        <w:t xml:space="preserve"> and </w:t>
      </w:r>
      <w:r w:rsidR="00801266">
        <w:t xml:space="preserve">errors </w:t>
      </w:r>
      <w:r>
        <w:t>that need to be fixed.</w:t>
      </w:r>
    </w:p>
    <w:p w14:paraId="449385B4" w14:textId="33300E92" w:rsidR="00020F23" w:rsidRDefault="00A46001" w:rsidP="00020F23">
      <w:pPr>
        <w:pStyle w:val="Heading1"/>
      </w:pPr>
      <w:r>
        <w:t>5</w:t>
      </w:r>
      <w:r w:rsidR="00020F23">
        <w:tab/>
        <w:t>References</w:t>
      </w:r>
    </w:p>
    <w:p w14:paraId="57322A8A" w14:textId="45E36708" w:rsidR="007D1094" w:rsidRPr="00020F23" w:rsidRDefault="00020F23" w:rsidP="00F1354A">
      <w:r>
        <w:t>[1]</w:t>
      </w:r>
      <w:r w:rsidRPr="00020F23">
        <w:t xml:space="preserve"> </w:t>
      </w:r>
      <w:r w:rsidR="007D1094" w:rsidRPr="007D1094">
        <w:t>R4-1812252</w:t>
      </w:r>
      <w:r w:rsidR="007D1094">
        <w:t xml:space="preserve"> </w:t>
      </w:r>
      <w:r w:rsidR="007D1094">
        <w:rPr>
          <w:lang w:eastAsia="zh-CN"/>
        </w:rPr>
        <w:t>Draft CR to 38.104: Corrections on the descriptions of BS channel bandwidth for CA, ZTE Corporation, RAN4</w:t>
      </w:r>
      <w:r w:rsidR="007D1094">
        <w:t>#</w:t>
      </w:r>
      <w:r w:rsidR="007D1094" w:rsidRPr="007D1094">
        <w:rPr>
          <w:lang w:eastAsia="zh-CN"/>
        </w:rPr>
        <w:t>88bis</w:t>
      </w:r>
    </w:p>
    <w:p w14:paraId="3C6D7232" w14:textId="3F68B5E7" w:rsidR="00103568" w:rsidRPr="0008585F" w:rsidRDefault="006E0623" w:rsidP="00103568">
      <w:r>
        <w:t xml:space="preserve">[2] </w:t>
      </w:r>
      <w:r w:rsidRPr="006E0623">
        <w:t>R4-1815562</w:t>
      </w:r>
      <w:r>
        <w:t xml:space="preserve"> CR to TS 38.104 on Combined updates from RAN4 #88bis and #89, Ericsson, </w:t>
      </w:r>
      <w:r w:rsidRPr="006E0623">
        <w:t>RAN4#89</w:t>
      </w:r>
    </w:p>
    <w:p w14:paraId="418B556E" w14:textId="34079983" w:rsidR="00103568" w:rsidRDefault="00A46001" w:rsidP="009A4887">
      <w:pPr>
        <w:pStyle w:val="Heading1"/>
      </w:pPr>
      <w:r>
        <w:t>6</w:t>
      </w:r>
      <w:r w:rsidR="00103568">
        <w:tab/>
        <w:t>Appendix</w:t>
      </w:r>
    </w:p>
    <w:p w14:paraId="22990C16" w14:textId="2A4759FC" w:rsidR="000063F6" w:rsidRPr="000063F6" w:rsidRDefault="000063F6" w:rsidP="000063F6">
      <w:r>
        <w:t>The table</w:t>
      </w:r>
      <w:r w:rsidR="00B57908">
        <w:t>s</w:t>
      </w:r>
      <w:r>
        <w:t xml:space="preserve"> below present</w:t>
      </w:r>
      <w:r w:rsidR="00741AF2">
        <w:t xml:space="preserve"> </w:t>
      </w:r>
      <w:r w:rsidR="004F5AF3">
        <w:t>FR1</w:t>
      </w:r>
      <w:r>
        <w:t xml:space="preserve"> </w:t>
      </w:r>
      <w:r w:rsidR="00B57908">
        <w:t xml:space="preserve">and FR2 </w:t>
      </w:r>
      <w:r w:rsidR="008E6937">
        <w:t xml:space="preserve">UL </w:t>
      </w:r>
      <w:r w:rsidR="00421AD6">
        <w:t>s</w:t>
      </w:r>
      <w:r>
        <w:t xml:space="preserve">ubblock bandwidths according to the CA channel arrangement formulas of TS 38.101-1 V16.2.0 </w:t>
      </w:r>
      <w:r w:rsidR="0028081C">
        <w:t xml:space="preserve">and TS 38.101-2 V16.2.0 </w:t>
      </w:r>
      <w:r>
        <w:t xml:space="preserve">for all possible combinations of CC bandwidths and SCSs. </w:t>
      </w:r>
      <w:r w:rsidR="00C74BD7">
        <w:t xml:space="preserve">The </w:t>
      </w:r>
      <w:r w:rsidR="00255E89">
        <w:t xml:space="preserve">minimum SCS-based </w:t>
      </w:r>
      <w:r w:rsidR="004F5AF3">
        <w:t xml:space="preserve">channel raster is assumed because it maximizes the channel spacing. </w:t>
      </w:r>
      <w:r w:rsidR="00980027">
        <w:t>In the table</w:t>
      </w:r>
      <w:r w:rsidR="00DA644D">
        <w:t>s</w:t>
      </w:r>
      <w:r w:rsidR="00980027">
        <w:t>, r</w:t>
      </w:r>
      <w:r>
        <w:t>ed color indicates that the subblock bandwidth exceeds the sum of CC bandwidths.</w:t>
      </w:r>
    </w:p>
    <w:p w14:paraId="4CB98680" w14:textId="77777777" w:rsidR="0050692A" w:rsidRDefault="0050692A" w:rsidP="00F1354A">
      <w:r>
        <w:object w:dxaOrig="1535" w:dyaOrig="997" w14:anchorId="42080D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75pt;height:49.6pt" o:ole="">
            <v:imagedata r:id="rId9" o:title=""/>
          </v:shape>
          <o:OLEObject Type="Embed" ProgID="Excel.Sheet.12" ShapeID="_x0000_i1025" DrawAspect="Icon" ObjectID="_1643202901" r:id="rId10"/>
        </w:object>
      </w:r>
    </w:p>
    <w:p w14:paraId="21C85B88" w14:textId="5697E584" w:rsidR="00F1354A" w:rsidRPr="00F1354A" w:rsidRDefault="00B3168D" w:rsidP="00F1354A">
      <w:r>
        <w:object w:dxaOrig="1535" w:dyaOrig="997" w14:anchorId="1C4CDD0F">
          <v:shape id="_x0000_i1026" type="#_x0000_t75" style="width:76.75pt;height:49.6pt" o:ole="">
            <v:imagedata r:id="rId11" o:title=""/>
          </v:shape>
          <o:OLEObject Type="Embed" ProgID="Excel.Sheet.12" ShapeID="_x0000_i1026" DrawAspect="Icon" ObjectID="_1643202902" r:id="rId12"/>
        </w:object>
      </w:r>
    </w:p>
    <w:sectPr w:rsidR="00F1354A" w:rsidRPr="00F1354A" w:rsidSect="00426A90">
      <w:headerReference w:type="even" r:id="rId13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5F3E9" w14:textId="77777777" w:rsidR="0044487F" w:rsidRDefault="0044487F" w:rsidP="002B3503">
      <w:pPr>
        <w:spacing w:after="0"/>
      </w:pPr>
      <w:r>
        <w:separator/>
      </w:r>
    </w:p>
  </w:endnote>
  <w:endnote w:type="continuationSeparator" w:id="0">
    <w:p w14:paraId="50AC0045" w14:textId="77777777" w:rsidR="0044487F" w:rsidRDefault="0044487F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altName w:val="Cambria Math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3AE5A5" w14:textId="77777777" w:rsidR="0044487F" w:rsidRDefault="0044487F" w:rsidP="002B3503">
      <w:pPr>
        <w:spacing w:after="0"/>
      </w:pPr>
      <w:r>
        <w:separator/>
      </w:r>
    </w:p>
  </w:footnote>
  <w:footnote w:type="continuationSeparator" w:id="0">
    <w:p w14:paraId="01F7BE13" w14:textId="77777777" w:rsidR="0044487F" w:rsidRDefault="0044487F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377361"/>
    <w:multiLevelType w:val="hybridMultilevel"/>
    <w:tmpl w:val="3E06C03E"/>
    <w:lvl w:ilvl="0" w:tplc="866C5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2412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E20C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C6E7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4B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D87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CA0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BC75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F45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F0A73AB"/>
    <w:multiLevelType w:val="hybridMultilevel"/>
    <w:tmpl w:val="610A22C2"/>
    <w:lvl w:ilvl="0" w:tplc="B3BCB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0620C2">
      <w:start w:val="1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66BC64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72C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20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FA4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807D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F2E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FA2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5371C2"/>
    <w:multiLevelType w:val="hybridMultilevel"/>
    <w:tmpl w:val="018E07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B6396"/>
    <w:multiLevelType w:val="hybridMultilevel"/>
    <w:tmpl w:val="5628A61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FC60EB"/>
    <w:multiLevelType w:val="hybridMultilevel"/>
    <w:tmpl w:val="B1C8E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proofState w:spelling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29DD"/>
    <w:rsid w:val="000063F6"/>
    <w:rsid w:val="0000645E"/>
    <w:rsid w:val="00014026"/>
    <w:rsid w:val="00015A05"/>
    <w:rsid w:val="00020F23"/>
    <w:rsid w:val="00027726"/>
    <w:rsid w:val="0003263E"/>
    <w:rsid w:val="000357D5"/>
    <w:rsid w:val="000370A5"/>
    <w:rsid w:val="00037DDF"/>
    <w:rsid w:val="00056AC0"/>
    <w:rsid w:val="00063A37"/>
    <w:rsid w:val="00065414"/>
    <w:rsid w:val="00067294"/>
    <w:rsid w:val="00084771"/>
    <w:rsid w:val="0008585F"/>
    <w:rsid w:val="00091F0B"/>
    <w:rsid w:val="00093DB7"/>
    <w:rsid w:val="000A0A33"/>
    <w:rsid w:val="000A0E7F"/>
    <w:rsid w:val="000A3DFD"/>
    <w:rsid w:val="000A6473"/>
    <w:rsid w:val="000A6A9A"/>
    <w:rsid w:val="000B0C5F"/>
    <w:rsid w:val="000B3B17"/>
    <w:rsid w:val="000B4E56"/>
    <w:rsid w:val="000B5E8E"/>
    <w:rsid w:val="000C3050"/>
    <w:rsid w:val="000C7011"/>
    <w:rsid w:val="000D0E98"/>
    <w:rsid w:val="000D63B1"/>
    <w:rsid w:val="000E1A81"/>
    <w:rsid w:val="000E4D14"/>
    <w:rsid w:val="000F2546"/>
    <w:rsid w:val="000F50EC"/>
    <w:rsid w:val="0010047F"/>
    <w:rsid w:val="0010105A"/>
    <w:rsid w:val="00101626"/>
    <w:rsid w:val="00103568"/>
    <w:rsid w:val="00106805"/>
    <w:rsid w:val="00113DD7"/>
    <w:rsid w:val="001221D2"/>
    <w:rsid w:val="0012429F"/>
    <w:rsid w:val="0013331F"/>
    <w:rsid w:val="001364A1"/>
    <w:rsid w:val="001458FC"/>
    <w:rsid w:val="0015000E"/>
    <w:rsid w:val="00155173"/>
    <w:rsid w:val="0015578A"/>
    <w:rsid w:val="001568C3"/>
    <w:rsid w:val="00157FA3"/>
    <w:rsid w:val="0016131F"/>
    <w:rsid w:val="00161B7C"/>
    <w:rsid w:val="001671CF"/>
    <w:rsid w:val="00171394"/>
    <w:rsid w:val="0017173D"/>
    <w:rsid w:val="001751F1"/>
    <w:rsid w:val="00187AC5"/>
    <w:rsid w:val="00192295"/>
    <w:rsid w:val="001953B8"/>
    <w:rsid w:val="001A0D3F"/>
    <w:rsid w:val="001A4C7E"/>
    <w:rsid w:val="001B4753"/>
    <w:rsid w:val="001B6495"/>
    <w:rsid w:val="001C4152"/>
    <w:rsid w:val="001C473D"/>
    <w:rsid w:val="001D44A7"/>
    <w:rsid w:val="001D64A5"/>
    <w:rsid w:val="001E4F63"/>
    <w:rsid w:val="001E7A57"/>
    <w:rsid w:val="00211718"/>
    <w:rsid w:val="002127E2"/>
    <w:rsid w:val="00214C87"/>
    <w:rsid w:val="00214CF4"/>
    <w:rsid w:val="00215035"/>
    <w:rsid w:val="00230F65"/>
    <w:rsid w:val="00236A02"/>
    <w:rsid w:val="0024072D"/>
    <w:rsid w:val="00241E14"/>
    <w:rsid w:val="002423EA"/>
    <w:rsid w:val="002479F5"/>
    <w:rsid w:val="00255E89"/>
    <w:rsid w:val="00260340"/>
    <w:rsid w:val="002646DF"/>
    <w:rsid w:val="00273303"/>
    <w:rsid w:val="0028081C"/>
    <w:rsid w:val="00291DDD"/>
    <w:rsid w:val="002A7181"/>
    <w:rsid w:val="002B0ACB"/>
    <w:rsid w:val="002B3503"/>
    <w:rsid w:val="002B520A"/>
    <w:rsid w:val="002C2C9A"/>
    <w:rsid w:val="002D2822"/>
    <w:rsid w:val="002D3130"/>
    <w:rsid w:val="002D4117"/>
    <w:rsid w:val="002F0FBC"/>
    <w:rsid w:val="002F6A38"/>
    <w:rsid w:val="00304DA8"/>
    <w:rsid w:val="0032156F"/>
    <w:rsid w:val="00323B3E"/>
    <w:rsid w:val="00325554"/>
    <w:rsid w:val="00331146"/>
    <w:rsid w:val="00333412"/>
    <w:rsid w:val="00341B2E"/>
    <w:rsid w:val="00341B97"/>
    <w:rsid w:val="00347DEA"/>
    <w:rsid w:val="00371041"/>
    <w:rsid w:val="003732AC"/>
    <w:rsid w:val="003777FE"/>
    <w:rsid w:val="00383F18"/>
    <w:rsid w:val="003A5302"/>
    <w:rsid w:val="003C3415"/>
    <w:rsid w:val="003C42AC"/>
    <w:rsid w:val="003C6403"/>
    <w:rsid w:val="003E31DF"/>
    <w:rsid w:val="003F2D72"/>
    <w:rsid w:val="003F7C08"/>
    <w:rsid w:val="00400F07"/>
    <w:rsid w:val="00402DF6"/>
    <w:rsid w:val="004148DE"/>
    <w:rsid w:val="0042109F"/>
    <w:rsid w:val="00421AD6"/>
    <w:rsid w:val="00426A90"/>
    <w:rsid w:val="004279E0"/>
    <w:rsid w:val="0043450E"/>
    <w:rsid w:val="004358D7"/>
    <w:rsid w:val="004369F3"/>
    <w:rsid w:val="0044487F"/>
    <w:rsid w:val="00444A8E"/>
    <w:rsid w:val="004476EB"/>
    <w:rsid w:val="004524FA"/>
    <w:rsid w:val="00453BA5"/>
    <w:rsid w:val="00454E53"/>
    <w:rsid w:val="00467F64"/>
    <w:rsid w:val="00470A9F"/>
    <w:rsid w:val="00474458"/>
    <w:rsid w:val="00482477"/>
    <w:rsid w:val="00482DDD"/>
    <w:rsid w:val="00491386"/>
    <w:rsid w:val="00491485"/>
    <w:rsid w:val="00494F18"/>
    <w:rsid w:val="004A0078"/>
    <w:rsid w:val="004A41DA"/>
    <w:rsid w:val="004B3255"/>
    <w:rsid w:val="004B3736"/>
    <w:rsid w:val="004B3AFF"/>
    <w:rsid w:val="004B7E43"/>
    <w:rsid w:val="004C0103"/>
    <w:rsid w:val="004C58F9"/>
    <w:rsid w:val="004D0C67"/>
    <w:rsid w:val="004D3D81"/>
    <w:rsid w:val="004E0562"/>
    <w:rsid w:val="004F43E1"/>
    <w:rsid w:val="004F5AF3"/>
    <w:rsid w:val="005052DF"/>
    <w:rsid w:val="0050692A"/>
    <w:rsid w:val="0052117E"/>
    <w:rsid w:val="00522C8C"/>
    <w:rsid w:val="005309B7"/>
    <w:rsid w:val="00530E0A"/>
    <w:rsid w:val="00546F55"/>
    <w:rsid w:val="00555F37"/>
    <w:rsid w:val="00557C40"/>
    <w:rsid w:val="00560A63"/>
    <w:rsid w:val="00564B2E"/>
    <w:rsid w:val="00570B14"/>
    <w:rsid w:val="00577AE5"/>
    <w:rsid w:val="005809BB"/>
    <w:rsid w:val="005A35C6"/>
    <w:rsid w:val="005A6A8D"/>
    <w:rsid w:val="005A7283"/>
    <w:rsid w:val="005B2640"/>
    <w:rsid w:val="005B53FE"/>
    <w:rsid w:val="005C2450"/>
    <w:rsid w:val="005C6167"/>
    <w:rsid w:val="005D5EBB"/>
    <w:rsid w:val="005E2160"/>
    <w:rsid w:val="005E26F0"/>
    <w:rsid w:val="005F4052"/>
    <w:rsid w:val="005F6CE3"/>
    <w:rsid w:val="00602EB6"/>
    <w:rsid w:val="00606A69"/>
    <w:rsid w:val="006104AF"/>
    <w:rsid w:val="00610EF2"/>
    <w:rsid w:val="00631465"/>
    <w:rsid w:val="00631C6A"/>
    <w:rsid w:val="00641C2E"/>
    <w:rsid w:val="00641E1F"/>
    <w:rsid w:val="00650590"/>
    <w:rsid w:val="006605DF"/>
    <w:rsid w:val="00662669"/>
    <w:rsid w:val="00664DF6"/>
    <w:rsid w:val="006919C7"/>
    <w:rsid w:val="006B58FE"/>
    <w:rsid w:val="006B722F"/>
    <w:rsid w:val="006C45D2"/>
    <w:rsid w:val="006C6840"/>
    <w:rsid w:val="006D12DA"/>
    <w:rsid w:val="006D575C"/>
    <w:rsid w:val="006D77C8"/>
    <w:rsid w:val="006E0623"/>
    <w:rsid w:val="006E1AD8"/>
    <w:rsid w:val="006E5469"/>
    <w:rsid w:val="006F1606"/>
    <w:rsid w:val="006F1AE1"/>
    <w:rsid w:val="006F5F2A"/>
    <w:rsid w:val="00700831"/>
    <w:rsid w:val="00701947"/>
    <w:rsid w:val="007034DD"/>
    <w:rsid w:val="00703672"/>
    <w:rsid w:val="007074D6"/>
    <w:rsid w:val="00721516"/>
    <w:rsid w:val="00726265"/>
    <w:rsid w:val="00727083"/>
    <w:rsid w:val="0073496C"/>
    <w:rsid w:val="00734EBD"/>
    <w:rsid w:val="00741AF2"/>
    <w:rsid w:val="00747AC8"/>
    <w:rsid w:val="0076454F"/>
    <w:rsid w:val="007756A9"/>
    <w:rsid w:val="00775BF6"/>
    <w:rsid w:val="00777FD4"/>
    <w:rsid w:val="0079231B"/>
    <w:rsid w:val="00793176"/>
    <w:rsid w:val="00794808"/>
    <w:rsid w:val="007A4356"/>
    <w:rsid w:val="007D0983"/>
    <w:rsid w:val="007D1094"/>
    <w:rsid w:val="007D20DF"/>
    <w:rsid w:val="007D31D2"/>
    <w:rsid w:val="007E5296"/>
    <w:rsid w:val="007F29A3"/>
    <w:rsid w:val="007F7086"/>
    <w:rsid w:val="00801266"/>
    <w:rsid w:val="00813571"/>
    <w:rsid w:val="00820359"/>
    <w:rsid w:val="00820BC5"/>
    <w:rsid w:val="00822FAB"/>
    <w:rsid w:val="008236E4"/>
    <w:rsid w:val="00850296"/>
    <w:rsid w:val="0085453A"/>
    <w:rsid w:val="0085459F"/>
    <w:rsid w:val="008719B7"/>
    <w:rsid w:val="00886F86"/>
    <w:rsid w:val="0089268B"/>
    <w:rsid w:val="008A2012"/>
    <w:rsid w:val="008A4493"/>
    <w:rsid w:val="008B776E"/>
    <w:rsid w:val="008E3387"/>
    <w:rsid w:val="008E6937"/>
    <w:rsid w:val="008F4671"/>
    <w:rsid w:val="008F6EEA"/>
    <w:rsid w:val="00905D49"/>
    <w:rsid w:val="009064A4"/>
    <w:rsid w:val="00913487"/>
    <w:rsid w:val="0091383D"/>
    <w:rsid w:val="00914272"/>
    <w:rsid w:val="0091652E"/>
    <w:rsid w:val="00930341"/>
    <w:rsid w:val="00930945"/>
    <w:rsid w:val="00940559"/>
    <w:rsid w:val="0094195E"/>
    <w:rsid w:val="00950A8A"/>
    <w:rsid w:val="0095758D"/>
    <w:rsid w:val="009627F3"/>
    <w:rsid w:val="00962E14"/>
    <w:rsid w:val="0096646D"/>
    <w:rsid w:val="009715D4"/>
    <w:rsid w:val="00980027"/>
    <w:rsid w:val="0098571E"/>
    <w:rsid w:val="00993956"/>
    <w:rsid w:val="009943D4"/>
    <w:rsid w:val="00994B01"/>
    <w:rsid w:val="00995054"/>
    <w:rsid w:val="00996062"/>
    <w:rsid w:val="009A4887"/>
    <w:rsid w:val="009A6AC3"/>
    <w:rsid w:val="009B1E68"/>
    <w:rsid w:val="009B2183"/>
    <w:rsid w:val="009C0E9B"/>
    <w:rsid w:val="009C5CA3"/>
    <w:rsid w:val="009D1984"/>
    <w:rsid w:val="00A033D4"/>
    <w:rsid w:val="00A039A3"/>
    <w:rsid w:val="00A226F6"/>
    <w:rsid w:val="00A300C8"/>
    <w:rsid w:val="00A30DC4"/>
    <w:rsid w:val="00A31791"/>
    <w:rsid w:val="00A451E8"/>
    <w:rsid w:val="00A46001"/>
    <w:rsid w:val="00A6003A"/>
    <w:rsid w:val="00A6018C"/>
    <w:rsid w:val="00A673E6"/>
    <w:rsid w:val="00A67A94"/>
    <w:rsid w:val="00A71D69"/>
    <w:rsid w:val="00A767DC"/>
    <w:rsid w:val="00A91B82"/>
    <w:rsid w:val="00AB4A12"/>
    <w:rsid w:val="00AC344B"/>
    <w:rsid w:val="00AC50AB"/>
    <w:rsid w:val="00AD1832"/>
    <w:rsid w:val="00AE09F6"/>
    <w:rsid w:val="00AE3721"/>
    <w:rsid w:val="00AE4D1D"/>
    <w:rsid w:val="00AE62DA"/>
    <w:rsid w:val="00AE6327"/>
    <w:rsid w:val="00AF0724"/>
    <w:rsid w:val="00AF7CB0"/>
    <w:rsid w:val="00B0117B"/>
    <w:rsid w:val="00B0192C"/>
    <w:rsid w:val="00B048CF"/>
    <w:rsid w:val="00B14494"/>
    <w:rsid w:val="00B20926"/>
    <w:rsid w:val="00B27AEF"/>
    <w:rsid w:val="00B27F32"/>
    <w:rsid w:val="00B3168D"/>
    <w:rsid w:val="00B35692"/>
    <w:rsid w:val="00B40E50"/>
    <w:rsid w:val="00B43457"/>
    <w:rsid w:val="00B4385F"/>
    <w:rsid w:val="00B442B7"/>
    <w:rsid w:val="00B45EA0"/>
    <w:rsid w:val="00B564A3"/>
    <w:rsid w:val="00B57908"/>
    <w:rsid w:val="00B63135"/>
    <w:rsid w:val="00B65B59"/>
    <w:rsid w:val="00B65B5F"/>
    <w:rsid w:val="00B66628"/>
    <w:rsid w:val="00B813D6"/>
    <w:rsid w:val="00BA2B88"/>
    <w:rsid w:val="00BA6533"/>
    <w:rsid w:val="00BB1927"/>
    <w:rsid w:val="00BC764C"/>
    <w:rsid w:val="00BD0F3F"/>
    <w:rsid w:val="00BE1016"/>
    <w:rsid w:val="00BE38D0"/>
    <w:rsid w:val="00BE6DF3"/>
    <w:rsid w:val="00BF4228"/>
    <w:rsid w:val="00BF4B17"/>
    <w:rsid w:val="00C00207"/>
    <w:rsid w:val="00C02019"/>
    <w:rsid w:val="00C16109"/>
    <w:rsid w:val="00C165DA"/>
    <w:rsid w:val="00C20F54"/>
    <w:rsid w:val="00C21554"/>
    <w:rsid w:val="00C33B37"/>
    <w:rsid w:val="00C46268"/>
    <w:rsid w:val="00C472F4"/>
    <w:rsid w:val="00C47A9C"/>
    <w:rsid w:val="00C6032C"/>
    <w:rsid w:val="00C64A8A"/>
    <w:rsid w:val="00C6696A"/>
    <w:rsid w:val="00C74BD7"/>
    <w:rsid w:val="00C81014"/>
    <w:rsid w:val="00C81190"/>
    <w:rsid w:val="00C8539D"/>
    <w:rsid w:val="00C93BF8"/>
    <w:rsid w:val="00C93DE8"/>
    <w:rsid w:val="00C9571C"/>
    <w:rsid w:val="00CA5C8B"/>
    <w:rsid w:val="00CA7012"/>
    <w:rsid w:val="00CC6C9A"/>
    <w:rsid w:val="00CD25F8"/>
    <w:rsid w:val="00CD3C07"/>
    <w:rsid w:val="00CF3651"/>
    <w:rsid w:val="00CF4412"/>
    <w:rsid w:val="00CF64F1"/>
    <w:rsid w:val="00D00901"/>
    <w:rsid w:val="00D05516"/>
    <w:rsid w:val="00D06C2F"/>
    <w:rsid w:val="00D07AD5"/>
    <w:rsid w:val="00D07FE6"/>
    <w:rsid w:val="00D1757E"/>
    <w:rsid w:val="00D1798F"/>
    <w:rsid w:val="00D275CC"/>
    <w:rsid w:val="00D459B8"/>
    <w:rsid w:val="00D46CED"/>
    <w:rsid w:val="00D47A46"/>
    <w:rsid w:val="00D72903"/>
    <w:rsid w:val="00D733F3"/>
    <w:rsid w:val="00D75B4F"/>
    <w:rsid w:val="00D767C4"/>
    <w:rsid w:val="00D77CF5"/>
    <w:rsid w:val="00D84BCA"/>
    <w:rsid w:val="00D87BA7"/>
    <w:rsid w:val="00D91158"/>
    <w:rsid w:val="00D93327"/>
    <w:rsid w:val="00D939A4"/>
    <w:rsid w:val="00DA22F1"/>
    <w:rsid w:val="00DA644D"/>
    <w:rsid w:val="00DB15F8"/>
    <w:rsid w:val="00DC40E5"/>
    <w:rsid w:val="00DE54D8"/>
    <w:rsid w:val="00DF2E6B"/>
    <w:rsid w:val="00DF4043"/>
    <w:rsid w:val="00DF4078"/>
    <w:rsid w:val="00E075A8"/>
    <w:rsid w:val="00E0780C"/>
    <w:rsid w:val="00E1032C"/>
    <w:rsid w:val="00E10AC4"/>
    <w:rsid w:val="00E112A9"/>
    <w:rsid w:val="00E23619"/>
    <w:rsid w:val="00E26964"/>
    <w:rsid w:val="00E33B68"/>
    <w:rsid w:val="00E349A7"/>
    <w:rsid w:val="00E51B59"/>
    <w:rsid w:val="00E5350E"/>
    <w:rsid w:val="00E5539B"/>
    <w:rsid w:val="00E63D44"/>
    <w:rsid w:val="00E9008C"/>
    <w:rsid w:val="00E962C5"/>
    <w:rsid w:val="00EA0625"/>
    <w:rsid w:val="00EA313A"/>
    <w:rsid w:val="00EA3488"/>
    <w:rsid w:val="00EA36D9"/>
    <w:rsid w:val="00EB0713"/>
    <w:rsid w:val="00EB2E74"/>
    <w:rsid w:val="00EB5F7D"/>
    <w:rsid w:val="00EC589F"/>
    <w:rsid w:val="00EE0FE8"/>
    <w:rsid w:val="00EE1412"/>
    <w:rsid w:val="00EE5334"/>
    <w:rsid w:val="00EE685D"/>
    <w:rsid w:val="00EF0B79"/>
    <w:rsid w:val="00EF0D3D"/>
    <w:rsid w:val="00EF266A"/>
    <w:rsid w:val="00F046F4"/>
    <w:rsid w:val="00F04AB4"/>
    <w:rsid w:val="00F12F88"/>
    <w:rsid w:val="00F1354A"/>
    <w:rsid w:val="00F23BEC"/>
    <w:rsid w:val="00F50FDC"/>
    <w:rsid w:val="00F54E9B"/>
    <w:rsid w:val="00F64F67"/>
    <w:rsid w:val="00F72C0B"/>
    <w:rsid w:val="00F86ADD"/>
    <w:rsid w:val="00F9486C"/>
    <w:rsid w:val="00F97D64"/>
    <w:rsid w:val="00FA42E2"/>
    <w:rsid w:val="00FB75B4"/>
    <w:rsid w:val="00FC288C"/>
    <w:rsid w:val="00FD085A"/>
    <w:rsid w:val="00FD0941"/>
    <w:rsid w:val="00FD543C"/>
    <w:rsid w:val="00FD7028"/>
    <w:rsid w:val="00FE2703"/>
    <w:rsid w:val="00FE2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1427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9142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142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1427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142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142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14272"/>
    <w:pPr>
      <w:outlineLvl w:val="5"/>
    </w:pPr>
  </w:style>
  <w:style w:type="paragraph" w:styleId="Heading7">
    <w:name w:val="heading 7"/>
    <w:basedOn w:val="H6"/>
    <w:next w:val="Normal"/>
    <w:qFormat/>
    <w:rsid w:val="00914272"/>
    <w:pPr>
      <w:outlineLvl w:val="6"/>
    </w:pPr>
  </w:style>
  <w:style w:type="paragraph" w:styleId="Heading8">
    <w:name w:val="heading 8"/>
    <w:basedOn w:val="Heading1"/>
    <w:next w:val="Normal"/>
    <w:qFormat/>
    <w:rsid w:val="009142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142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14272"/>
    <w:pPr>
      <w:spacing w:before="180"/>
      <w:ind w:left="2693" w:hanging="2693"/>
    </w:pPr>
    <w:rPr>
      <w:b/>
    </w:rPr>
  </w:style>
  <w:style w:type="paragraph" w:styleId="TOC1">
    <w:name w:val="toc 1"/>
    <w:semiHidden/>
    <w:rsid w:val="009142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142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14272"/>
    <w:pPr>
      <w:ind w:left="1701" w:hanging="1701"/>
    </w:pPr>
  </w:style>
  <w:style w:type="paragraph" w:styleId="TOC4">
    <w:name w:val="toc 4"/>
    <w:basedOn w:val="TOC3"/>
    <w:semiHidden/>
    <w:rsid w:val="00914272"/>
    <w:pPr>
      <w:ind w:left="1418" w:hanging="1418"/>
    </w:pPr>
  </w:style>
  <w:style w:type="paragraph" w:styleId="TOC3">
    <w:name w:val="toc 3"/>
    <w:basedOn w:val="TOC2"/>
    <w:semiHidden/>
    <w:rsid w:val="00914272"/>
    <w:pPr>
      <w:ind w:left="1134" w:hanging="1134"/>
    </w:pPr>
  </w:style>
  <w:style w:type="paragraph" w:styleId="TOC2">
    <w:name w:val="toc 2"/>
    <w:basedOn w:val="TOC1"/>
    <w:semiHidden/>
    <w:rsid w:val="009142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4272"/>
    <w:pPr>
      <w:ind w:left="284"/>
    </w:pPr>
  </w:style>
  <w:style w:type="paragraph" w:styleId="Index1">
    <w:name w:val="index 1"/>
    <w:basedOn w:val="Normal"/>
    <w:semiHidden/>
    <w:rsid w:val="00914272"/>
    <w:pPr>
      <w:keepLines/>
      <w:spacing w:after="0"/>
    </w:pPr>
  </w:style>
  <w:style w:type="paragraph" w:customStyle="1" w:styleId="ZH">
    <w:name w:val="ZH"/>
    <w:rsid w:val="009142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14272"/>
    <w:pPr>
      <w:outlineLvl w:val="9"/>
    </w:pPr>
  </w:style>
  <w:style w:type="paragraph" w:styleId="ListNumber2">
    <w:name w:val="List Number 2"/>
    <w:basedOn w:val="ListNumber"/>
    <w:semiHidden/>
    <w:rsid w:val="009142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142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14272"/>
    <w:rPr>
      <w:b/>
      <w:position w:val="6"/>
      <w:sz w:val="16"/>
    </w:rPr>
  </w:style>
  <w:style w:type="paragraph" w:styleId="FootnoteText">
    <w:name w:val="footnote text"/>
    <w:basedOn w:val="Normal"/>
    <w:semiHidden/>
    <w:rsid w:val="009142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14272"/>
    <w:rPr>
      <w:b/>
    </w:rPr>
  </w:style>
  <w:style w:type="paragraph" w:customStyle="1" w:styleId="TAC">
    <w:name w:val="TAC"/>
    <w:basedOn w:val="TAL"/>
    <w:link w:val="TACChar"/>
    <w:rsid w:val="00914272"/>
    <w:pPr>
      <w:jc w:val="center"/>
    </w:pPr>
  </w:style>
  <w:style w:type="paragraph" w:customStyle="1" w:styleId="TF">
    <w:name w:val="TF"/>
    <w:basedOn w:val="TH"/>
    <w:rsid w:val="00914272"/>
    <w:pPr>
      <w:keepNext w:val="0"/>
      <w:spacing w:before="0" w:after="240"/>
    </w:pPr>
  </w:style>
  <w:style w:type="paragraph" w:customStyle="1" w:styleId="NO">
    <w:name w:val="NO"/>
    <w:basedOn w:val="Normal"/>
    <w:rsid w:val="00914272"/>
    <w:pPr>
      <w:keepLines/>
      <w:ind w:left="1135" w:hanging="851"/>
    </w:pPr>
  </w:style>
  <w:style w:type="paragraph" w:styleId="TOC9">
    <w:name w:val="toc 9"/>
    <w:basedOn w:val="TOC8"/>
    <w:semiHidden/>
    <w:rsid w:val="00914272"/>
    <w:pPr>
      <w:ind w:left="1418" w:hanging="1418"/>
    </w:pPr>
  </w:style>
  <w:style w:type="paragraph" w:customStyle="1" w:styleId="EX">
    <w:name w:val="EX"/>
    <w:basedOn w:val="Normal"/>
    <w:rsid w:val="00914272"/>
    <w:pPr>
      <w:keepLines/>
      <w:ind w:left="1702" w:hanging="1418"/>
    </w:pPr>
  </w:style>
  <w:style w:type="paragraph" w:customStyle="1" w:styleId="FP">
    <w:name w:val="FP"/>
    <w:basedOn w:val="Normal"/>
    <w:rsid w:val="00914272"/>
    <w:pPr>
      <w:spacing w:after="0"/>
    </w:pPr>
  </w:style>
  <w:style w:type="paragraph" w:customStyle="1" w:styleId="LD">
    <w:name w:val="LD"/>
    <w:rsid w:val="009142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14272"/>
    <w:pPr>
      <w:spacing w:after="0"/>
    </w:pPr>
  </w:style>
  <w:style w:type="paragraph" w:customStyle="1" w:styleId="EW">
    <w:name w:val="EW"/>
    <w:basedOn w:val="EX"/>
    <w:rsid w:val="00914272"/>
    <w:pPr>
      <w:spacing w:after="0"/>
    </w:pPr>
  </w:style>
  <w:style w:type="paragraph" w:styleId="TOC6">
    <w:name w:val="toc 6"/>
    <w:basedOn w:val="TOC5"/>
    <w:next w:val="Normal"/>
    <w:semiHidden/>
    <w:rsid w:val="00914272"/>
    <w:pPr>
      <w:ind w:left="1985" w:hanging="1985"/>
    </w:pPr>
  </w:style>
  <w:style w:type="paragraph" w:styleId="TOC7">
    <w:name w:val="toc 7"/>
    <w:basedOn w:val="TOC6"/>
    <w:next w:val="Normal"/>
    <w:semiHidden/>
    <w:rsid w:val="00914272"/>
    <w:pPr>
      <w:ind w:left="2268" w:hanging="2268"/>
    </w:pPr>
  </w:style>
  <w:style w:type="paragraph" w:styleId="ListBullet2">
    <w:name w:val="List Bullet 2"/>
    <w:basedOn w:val="ListBullet"/>
    <w:semiHidden/>
    <w:rsid w:val="00914272"/>
    <w:pPr>
      <w:ind w:left="851"/>
    </w:pPr>
  </w:style>
  <w:style w:type="paragraph" w:styleId="ListBullet3">
    <w:name w:val="List Bullet 3"/>
    <w:basedOn w:val="ListBullet2"/>
    <w:semiHidden/>
    <w:rsid w:val="00914272"/>
    <w:pPr>
      <w:ind w:left="1135"/>
    </w:pPr>
  </w:style>
  <w:style w:type="paragraph" w:styleId="ListNumber">
    <w:name w:val="List Number"/>
    <w:basedOn w:val="List"/>
    <w:semiHidden/>
    <w:rsid w:val="00914272"/>
  </w:style>
  <w:style w:type="paragraph" w:customStyle="1" w:styleId="EQ">
    <w:name w:val="EQ"/>
    <w:basedOn w:val="Normal"/>
    <w:next w:val="Normal"/>
    <w:link w:val="EQChar"/>
    <w:rsid w:val="009142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142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42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142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14272"/>
    <w:pPr>
      <w:jc w:val="right"/>
    </w:pPr>
  </w:style>
  <w:style w:type="paragraph" w:customStyle="1" w:styleId="H6">
    <w:name w:val="H6"/>
    <w:basedOn w:val="Heading5"/>
    <w:next w:val="Normal"/>
    <w:rsid w:val="009142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14272"/>
    <w:pPr>
      <w:ind w:left="851" w:hanging="851"/>
    </w:pPr>
  </w:style>
  <w:style w:type="paragraph" w:customStyle="1" w:styleId="TAL">
    <w:name w:val="TAL"/>
    <w:basedOn w:val="Normal"/>
    <w:rsid w:val="009142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42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142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142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142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14272"/>
    <w:pPr>
      <w:framePr w:wrap="notBeside" w:y="16161"/>
    </w:pPr>
  </w:style>
  <w:style w:type="character" w:customStyle="1" w:styleId="ZGSM">
    <w:name w:val="ZGSM"/>
    <w:rsid w:val="00914272"/>
  </w:style>
  <w:style w:type="paragraph" w:styleId="List2">
    <w:name w:val="List 2"/>
    <w:basedOn w:val="List"/>
    <w:semiHidden/>
    <w:rsid w:val="00914272"/>
    <w:pPr>
      <w:ind w:left="851"/>
    </w:pPr>
  </w:style>
  <w:style w:type="paragraph" w:customStyle="1" w:styleId="ZG">
    <w:name w:val="ZG"/>
    <w:rsid w:val="009142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914272"/>
    <w:pPr>
      <w:ind w:left="1135"/>
    </w:pPr>
  </w:style>
  <w:style w:type="paragraph" w:styleId="List4">
    <w:name w:val="List 4"/>
    <w:basedOn w:val="List3"/>
    <w:semiHidden/>
    <w:rsid w:val="00914272"/>
    <w:pPr>
      <w:ind w:left="1418"/>
    </w:pPr>
  </w:style>
  <w:style w:type="paragraph" w:styleId="List5">
    <w:name w:val="List 5"/>
    <w:basedOn w:val="List4"/>
    <w:semiHidden/>
    <w:rsid w:val="00914272"/>
    <w:pPr>
      <w:ind w:left="1702"/>
    </w:pPr>
  </w:style>
  <w:style w:type="paragraph" w:customStyle="1" w:styleId="EditorsNote">
    <w:name w:val="Editor's Note"/>
    <w:basedOn w:val="NO"/>
    <w:rsid w:val="00914272"/>
    <w:rPr>
      <w:color w:val="FF0000"/>
    </w:rPr>
  </w:style>
  <w:style w:type="paragraph" w:styleId="List">
    <w:name w:val="List"/>
    <w:basedOn w:val="Normal"/>
    <w:semiHidden/>
    <w:rsid w:val="00914272"/>
    <w:pPr>
      <w:ind w:left="568" w:hanging="284"/>
    </w:pPr>
  </w:style>
  <w:style w:type="paragraph" w:styleId="ListBullet">
    <w:name w:val="List Bullet"/>
    <w:basedOn w:val="List"/>
    <w:semiHidden/>
    <w:rsid w:val="00914272"/>
  </w:style>
  <w:style w:type="paragraph" w:styleId="ListBullet4">
    <w:name w:val="List Bullet 4"/>
    <w:basedOn w:val="ListBullet3"/>
    <w:semiHidden/>
    <w:rsid w:val="00914272"/>
    <w:pPr>
      <w:ind w:left="1418"/>
    </w:pPr>
  </w:style>
  <w:style w:type="paragraph" w:styleId="ListBullet5">
    <w:name w:val="List Bullet 5"/>
    <w:basedOn w:val="ListBullet4"/>
    <w:semiHidden/>
    <w:rsid w:val="00914272"/>
    <w:pPr>
      <w:ind w:left="1702"/>
    </w:pPr>
  </w:style>
  <w:style w:type="paragraph" w:customStyle="1" w:styleId="B1">
    <w:name w:val="B1"/>
    <w:basedOn w:val="List"/>
    <w:rsid w:val="00914272"/>
  </w:style>
  <w:style w:type="paragraph" w:customStyle="1" w:styleId="B2">
    <w:name w:val="B2"/>
    <w:basedOn w:val="List2"/>
    <w:rsid w:val="00914272"/>
  </w:style>
  <w:style w:type="paragraph" w:customStyle="1" w:styleId="B3">
    <w:name w:val="B3"/>
    <w:basedOn w:val="List3"/>
    <w:rsid w:val="00914272"/>
  </w:style>
  <w:style w:type="paragraph" w:customStyle="1" w:styleId="B4">
    <w:name w:val="B4"/>
    <w:basedOn w:val="List4"/>
    <w:rsid w:val="00914272"/>
  </w:style>
  <w:style w:type="paragraph" w:customStyle="1" w:styleId="B5">
    <w:name w:val="B5"/>
    <w:basedOn w:val="List5"/>
    <w:rsid w:val="00914272"/>
  </w:style>
  <w:style w:type="paragraph" w:styleId="Footer">
    <w:name w:val="footer"/>
    <w:basedOn w:val="Header"/>
    <w:semiHidden/>
    <w:rsid w:val="00914272"/>
    <w:pPr>
      <w:jc w:val="center"/>
    </w:pPr>
    <w:rPr>
      <w:i/>
    </w:rPr>
  </w:style>
  <w:style w:type="paragraph" w:customStyle="1" w:styleId="ZTD">
    <w:name w:val="ZTD"/>
    <w:basedOn w:val="ZB"/>
    <w:rsid w:val="0091427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08477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084771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E5469"/>
    <w:rPr>
      <w:color w:val="808080"/>
    </w:rPr>
  </w:style>
  <w:style w:type="character" w:customStyle="1" w:styleId="EQChar">
    <w:name w:val="EQ Char"/>
    <w:link w:val="EQ"/>
    <w:rsid w:val="007756A9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7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3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96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5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58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740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65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37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2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43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51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5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Excel_Worksheet1.xls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Excel_Worksheet.xls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37ECE3-C2E0-42A6-A989-B4F3E2725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514</TotalTime>
  <Pages>2</Pages>
  <Words>572</Words>
  <Characters>3266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Lehtinen, Vesa (EXT - FI/Espoo)</cp:lastModifiedBy>
  <cp:revision>197</cp:revision>
  <cp:lastPrinted>1899-12-31T22:00:00Z</cp:lastPrinted>
  <dcterms:created xsi:type="dcterms:W3CDTF">2019-11-08T09:22:00Z</dcterms:created>
  <dcterms:modified xsi:type="dcterms:W3CDTF">2020-02-14T14:21:00Z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petri.j.vasenkari@nokia.com</vt:lpwstr>
  </property>
  <property fmtid="{D5CDD505-2E9C-101B-9397-08002B2CF9AE}" pid="5" name="MSIP_Label_b1aa2129-79ec-42c0-bfac-e5b7a0374572_SetDate">
    <vt:lpwstr>2019-10-03T12:31:28.7743171Z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ActionId">
    <vt:lpwstr>d809f080-1321-4497-ba97-8442f929ec8f</vt:lpwstr>
  </property>
  <property fmtid="{D5CDD505-2E9C-101B-9397-08002B2CF9AE}" pid="9" name="MSIP_Label_b1aa2129-79ec-42c0-bfac-e5b7a0374572_Extended_MSFT_Method">
    <vt:lpwstr>Manual</vt:lpwstr>
  </property>
  <property fmtid="{D5CDD505-2E9C-101B-9397-08002B2CF9AE}" pid="10" name="Sensitivity">
    <vt:lpwstr>Public</vt:lpwstr>
  </property>
</Properties>
</file>